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1701"/>
        <w:gridCol w:w="1727"/>
        <w:gridCol w:w="1533"/>
        <w:gridCol w:w="1985"/>
        <w:gridCol w:w="1559"/>
        <w:gridCol w:w="1417"/>
        <w:gridCol w:w="1275"/>
      </w:tblGrid>
      <w:tr w:rsidR="005917B2" w:rsidRPr="00810036" w:rsidTr="00CF1459">
        <w:trPr>
          <w:trHeight w:val="706"/>
        </w:trPr>
        <w:tc>
          <w:tcPr>
            <w:tcW w:w="15616" w:type="dxa"/>
            <w:gridSpan w:val="9"/>
            <w:vAlign w:val="center"/>
          </w:tcPr>
          <w:p w:rsidR="005917B2" w:rsidRPr="00810036" w:rsidRDefault="005917B2" w:rsidP="00D234B2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    201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7</w:t>
            </w: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CONTRACTES SUBSCRITS/FORMALITZATS</w:t>
            </w:r>
            <w:r w:rsidR="006C3FEE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  <w:r w:rsidR="00C770D4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SUBJECTES A LICITACIÓ I A CONCURRÈNCIA</w:t>
            </w:r>
            <w:r w:rsidR="00C752B6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i LICITACIONS EN TRÀMIT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D234B2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SEGON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5917B2" w:rsidRPr="00810036" w:rsidTr="00CF1459">
        <w:trPr>
          <w:trHeight w:val="706"/>
        </w:trPr>
        <w:tc>
          <w:tcPr>
            <w:tcW w:w="636" w:type="dxa"/>
            <w:vAlign w:val="center"/>
          </w:tcPr>
          <w:p w:rsidR="005917B2" w:rsidRPr="00810036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  <w:vAlign w:val="center"/>
          </w:tcPr>
          <w:p w:rsidR="00537C6E" w:rsidRPr="00810036" w:rsidRDefault="00810036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</w:t>
            </w:r>
            <w:r w:rsidR="001622F8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TRAMITACIÓ          I PROCEDIMENT</w:t>
            </w:r>
          </w:p>
        </w:tc>
        <w:tc>
          <w:tcPr>
            <w:tcW w:w="1727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LICITACIÓ sense IVA</w:t>
            </w:r>
          </w:p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ADJUDICACIO, sense IVA</w:t>
            </w:r>
          </w:p>
        </w:tc>
        <w:tc>
          <w:tcPr>
            <w:tcW w:w="1533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ADJ. I DURADA</w:t>
            </w:r>
          </w:p>
          <w:p w:rsidR="00F534A9" w:rsidRPr="00810036" w:rsidRDefault="00F534A9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FORMALITZACIÓ</w:t>
            </w:r>
          </w:p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LICITACIONS PRESENTADES O CONVIDATS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CRITERIS VALORACIÓ I PUNTUACIONS</w:t>
            </w:r>
          </w:p>
        </w:tc>
      </w:tr>
      <w:tr w:rsidR="005917B2" w:rsidRPr="00810036" w:rsidTr="00CF1459">
        <w:trPr>
          <w:trHeight w:val="70"/>
        </w:trPr>
        <w:tc>
          <w:tcPr>
            <w:tcW w:w="636" w:type="dxa"/>
            <w:vAlign w:val="center"/>
          </w:tcPr>
          <w:p w:rsidR="005917B2" w:rsidRPr="00810036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nil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  <w:vAlign w:val="center"/>
          </w:tcPr>
          <w:p w:rsidR="00115ECE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Econòmics</w:t>
            </w:r>
            <w:r w:rsidR="00115ECE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/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Tècnics</w:t>
            </w:r>
          </w:p>
        </w:tc>
      </w:tr>
      <w:tr w:rsidR="005917B2" w:rsidRPr="00595F89" w:rsidTr="00CF1459">
        <w:trPr>
          <w:trHeight w:val="495"/>
        </w:trPr>
        <w:tc>
          <w:tcPr>
            <w:tcW w:w="636" w:type="dxa"/>
            <w:vAlign w:val="center"/>
          </w:tcPr>
          <w:p w:rsidR="005917B2" w:rsidRPr="00595F89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vAlign w:val="center"/>
          </w:tcPr>
          <w:p w:rsidR="00115ECE" w:rsidRPr="00595F89" w:rsidRDefault="008D4D07" w:rsidP="00810036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</w:t>
            </w:r>
            <w:r w:rsidR="00D234B2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de serveis de l’escola bressol municipal “El Bosquet” de l’Ajuntament d’Argentona</w:t>
            </w: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</w:p>
          <w:p w:rsidR="006204F8" w:rsidRPr="00595F89" w:rsidRDefault="006204F8" w:rsidP="00D234B2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(Exp. </w:t>
            </w:r>
            <w:r w:rsidR="00D234B2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763</w:t>
            </w:r>
            <w:r w:rsidR="00327DE9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/201</w:t>
            </w:r>
            <w:r w:rsidR="00D234B2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7</w:t>
            </w: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1701" w:type="dxa"/>
            <w:vAlign w:val="center"/>
          </w:tcPr>
          <w:p w:rsidR="006204F8" w:rsidRPr="00595F89" w:rsidRDefault="001F04F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1F04F7" w:rsidRPr="00595F89" w:rsidRDefault="001F04F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vAlign w:val="center"/>
          </w:tcPr>
          <w:p w:rsidR="006204F8" w:rsidRPr="00595F89" w:rsidRDefault="001F04F7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="00D234B2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437.080,20€</w:t>
            </w:r>
          </w:p>
          <w:p w:rsidR="001F04F7" w:rsidRPr="00595F89" w:rsidRDefault="001F04F7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F04F7" w:rsidRPr="00595F89" w:rsidRDefault="001F04F7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D234B2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436.921,72€</w:t>
            </w:r>
          </w:p>
          <w:p w:rsidR="001F04F7" w:rsidRPr="00595F89" w:rsidRDefault="001F04F7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Align w:val="center"/>
          </w:tcPr>
          <w:p w:rsidR="006204F8" w:rsidRPr="00595F89" w:rsidRDefault="001F04F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D234B2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17/082017</w:t>
            </w:r>
          </w:p>
          <w:p w:rsidR="00D234B2" w:rsidRPr="00595F89" w:rsidRDefault="00D234B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F04F7" w:rsidRPr="00595F89" w:rsidRDefault="00D234B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1 any</w:t>
            </w:r>
          </w:p>
          <w:p w:rsidR="001F04F7" w:rsidRPr="00595F89" w:rsidRDefault="001F04F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F04F7" w:rsidRPr="00595F89" w:rsidRDefault="001F04F7" w:rsidP="00D234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D234B2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05/09/2017</w:t>
            </w:r>
          </w:p>
        </w:tc>
        <w:tc>
          <w:tcPr>
            <w:tcW w:w="1985" w:type="dxa"/>
            <w:vAlign w:val="center"/>
          </w:tcPr>
          <w:p w:rsidR="00115ECE" w:rsidRPr="00595F89" w:rsidRDefault="00D234B2" w:rsidP="00115EC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El Gegant del Pi Societat Cooperativa Catalana Limitada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55B78" w:rsidRPr="00595F89" w:rsidRDefault="006B68AF" w:rsidP="00D234B2">
            <w:pPr>
              <w:tabs>
                <w:tab w:val="left" w:pos="301"/>
              </w:tabs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1 licitador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1F04F7" w:rsidRPr="00595F89" w:rsidRDefault="00D234B2" w:rsidP="001F04F7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Millor preu a la baixa fins 50 punts</w:t>
            </w:r>
          </w:p>
          <w:p w:rsidR="00D234B2" w:rsidRPr="00595F89" w:rsidRDefault="00D234B2" w:rsidP="001F04F7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Millors preus unitaris dinar fins 1 punt</w:t>
            </w:r>
          </w:p>
          <w:p w:rsidR="00D234B2" w:rsidRPr="00595F89" w:rsidRDefault="00D234B2" w:rsidP="001F04F7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Millors preus unitaris berenar fins 1 punt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D234B2" w:rsidRPr="00595F89" w:rsidRDefault="00D234B2" w:rsidP="00D234B2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Judici de valor fins 48 punts</w:t>
            </w:r>
          </w:p>
          <w:p w:rsidR="005917B2" w:rsidRPr="00595F89" w:rsidRDefault="005917B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5917B2" w:rsidRPr="00810036" w:rsidTr="00CF1459">
        <w:trPr>
          <w:trHeight w:val="555"/>
        </w:trPr>
        <w:tc>
          <w:tcPr>
            <w:tcW w:w="636" w:type="dxa"/>
            <w:vAlign w:val="center"/>
          </w:tcPr>
          <w:p w:rsidR="005917B2" w:rsidRPr="00595F89" w:rsidRDefault="00CF1459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783" w:type="dxa"/>
            <w:vAlign w:val="center"/>
          </w:tcPr>
          <w:p w:rsidR="00FD66A3" w:rsidRPr="00595F89" w:rsidRDefault="00C745E9" w:rsidP="00810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</w:t>
            </w:r>
            <w:r w:rsidR="006B68AF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de les obres incloses en el projecte executiu de la </w:t>
            </w:r>
            <w:proofErr w:type="spellStart"/>
            <w:r w:rsidR="006B68AF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subfase</w:t>
            </w:r>
            <w:proofErr w:type="spellEnd"/>
            <w:r w:rsidR="006B68AF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2.2 (actuacions en l’envoltant exterior) de la fase II del projecte executiu de la rehabilitació de la Casa Puig i Cadafalch</w:t>
            </w:r>
          </w:p>
          <w:p w:rsidR="00C745E9" w:rsidRPr="00595F89" w:rsidRDefault="00C745E9" w:rsidP="006B68AF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(exp. </w:t>
            </w:r>
            <w:r w:rsidR="006B68AF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1068</w:t>
            </w: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/2017)</w:t>
            </w:r>
          </w:p>
        </w:tc>
        <w:tc>
          <w:tcPr>
            <w:tcW w:w="1701" w:type="dxa"/>
            <w:vAlign w:val="center"/>
          </w:tcPr>
          <w:p w:rsidR="006D7709" w:rsidRPr="00595F89" w:rsidRDefault="00C745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C745E9" w:rsidRPr="00595F89" w:rsidRDefault="00C745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Tramitació Urgència</w:t>
            </w:r>
          </w:p>
        </w:tc>
        <w:tc>
          <w:tcPr>
            <w:tcW w:w="1727" w:type="dxa"/>
            <w:vAlign w:val="center"/>
          </w:tcPr>
          <w:p w:rsidR="006D7709" w:rsidRPr="00595F89" w:rsidRDefault="00C745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="006B68AF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524.594,41</w:t>
            </w: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C745E9" w:rsidRPr="00595F89" w:rsidRDefault="00C745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45E9" w:rsidRPr="00595F89" w:rsidRDefault="00C745E9" w:rsidP="006B68A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6B68AF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429.223,15</w:t>
            </w: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</w:tc>
        <w:tc>
          <w:tcPr>
            <w:tcW w:w="1533" w:type="dxa"/>
            <w:vAlign w:val="center"/>
          </w:tcPr>
          <w:p w:rsidR="007873CE" w:rsidRPr="00595F89" w:rsidRDefault="00C745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Adjudicació:</w:t>
            </w:r>
          </w:p>
          <w:p w:rsidR="00C745E9" w:rsidRPr="00595F89" w:rsidRDefault="006B68AF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05/09/2017</w:t>
            </w:r>
          </w:p>
          <w:p w:rsidR="008E3232" w:rsidRPr="00595F89" w:rsidRDefault="008E323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45E9" w:rsidRPr="00595F89" w:rsidRDefault="00DF34E0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12</w:t>
            </w:r>
            <w:r w:rsidR="00C745E9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setmanes</w:t>
            </w:r>
          </w:p>
          <w:p w:rsidR="00C745E9" w:rsidRPr="00595F89" w:rsidRDefault="00C745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45E9" w:rsidRPr="00595F89" w:rsidRDefault="00C745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Formalització:</w:t>
            </w:r>
          </w:p>
          <w:p w:rsidR="00C745E9" w:rsidRPr="00595F89" w:rsidRDefault="006B68AF" w:rsidP="00CF145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18/09/2017</w:t>
            </w:r>
          </w:p>
        </w:tc>
        <w:tc>
          <w:tcPr>
            <w:tcW w:w="1985" w:type="dxa"/>
            <w:vAlign w:val="center"/>
          </w:tcPr>
          <w:p w:rsidR="005917B2" w:rsidRPr="00595F89" w:rsidRDefault="006B68AF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proofErr w:type="spellStart"/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Novantia</w:t>
            </w:r>
            <w:proofErr w:type="spellEnd"/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Integral, S.A.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632634" w:rsidRPr="00595F89" w:rsidRDefault="003B5A50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3 licitadors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7873CE" w:rsidRPr="00595F89" w:rsidRDefault="00C745E9" w:rsidP="00C745E9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Millor preu</w:t>
            </w:r>
            <w:r w:rsidR="006B68AF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 la baixa</w:t>
            </w: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fins 40 punts</w:t>
            </w:r>
          </w:p>
          <w:p w:rsidR="00C745E9" w:rsidRPr="00595F89" w:rsidRDefault="00C745E9" w:rsidP="003B5A50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Millores </w:t>
            </w:r>
            <w:r w:rsidR="003B5A50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termini execució </w:t>
            </w: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fins </w:t>
            </w:r>
            <w:r w:rsidR="003B5A50"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0 punts</w:t>
            </w:r>
          </w:p>
          <w:p w:rsidR="003B5A50" w:rsidRPr="00595F89" w:rsidRDefault="003B5A50" w:rsidP="003B5A50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5F89">
              <w:rPr>
                <w:rFonts w:ascii="Open Sans" w:hAnsi="Open Sans" w:cs="Open Sans"/>
                <w:sz w:val="18"/>
                <w:szCs w:val="18"/>
                <w:lang w:val="ca-ES"/>
              </w:rPr>
              <w:t>Millora termini garantia fins a 15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7873CE" w:rsidRPr="00810036" w:rsidRDefault="007873C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C745E9" w:rsidRPr="00810036" w:rsidTr="00CF1459">
        <w:trPr>
          <w:trHeight w:val="555"/>
        </w:trPr>
        <w:tc>
          <w:tcPr>
            <w:tcW w:w="636" w:type="dxa"/>
            <w:vAlign w:val="center"/>
          </w:tcPr>
          <w:p w:rsidR="00C745E9" w:rsidRPr="00810036" w:rsidRDefault="00CF1459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</w:p>
        </w:tc>
        <w:tc>
          <w:tcPr>
            <w:tcW w:w="3783" w:type="dxa"/>
            <w:vAlign w:val="center"/>
          </w:tcPr>
          <w:p w:rsidR="00C745E9" w:rsidRPr="00810036" w:rsidRDefault="00C745E9" w:rsidP="003B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</w:t>
            </w:r>
            <w:r w:rsidR="003B5A50">
              <w:rPr>
                <w:rFonts w:ascii="Open Sans" w:hAnsi="Open Sans" w:cs="Open Sans"/>
                <w:sz w:val="18"/>
                <w:szCs w:val="18"/>
                <w:lang w:val="ca-ES"/>
              </w:rPr>
              <w:t>per al subministrament i instal·lació de jocs infantils al municipi d’Argentona</w:t>
            </w:r>
            <w:r w:rsidRPr="00810036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 w:rsidR="003B5A50">
              <w:rPr>
                <w:rFonts w:ascii="Open Sans" w:hAnsi="Open Sans" w:cs="Open Sans"/>
                <w:sz w:val="18"/>
                <w:szCs w:val="18"/>
                <w:lang w:val="ca-ES"/>
              </w:rPr>
              <w:t>1103</w:t>
            </w:r>
            <w:r w:rsidRPr="00810036">
              <w:rPr>
                <w:rFonts w:ascii="Open Sans" w:hAnsi="Open Sans" w:cs="Open Sans"/>
                <w:sz w:val="18"/>
                <w:szCs w:val="18"/>
                <w:lang w:val="ca-ES"/>
              </w:rPr>
              <w:t>/201</w:t>
            </w:r>
            <w:r w:rsidR="003B5A50">
              <w:rPr>
                <w:rFonts w:ascii="Open Sans" w:hAnsi="Open Sans" w:cs="Open Sans"/>
                <w:sz w:val="18"/>
                <w:szCs w:val="18"/>
                <w:lang w:val="ca-ES"/>
              </w:rPr>
              <w:t>7</w:t>
            </w:r>
            <w:r w:rsidRPr="00810036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1701" w:type="dxa"/>
            <w:vAlign w:val="center"/>
          </w:tcPr>
          <w:p w:rsidR="00B512B1" w:rsidRPr="00810036" w:rsidRDefault="00B512B1" w:rsidP="00B512B1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C745E9" w:rsidRPr="00810036" w:rsidRDefault="00B512B1" w:rsidP="00B512B1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vAlign w:val="center"/>
          </w:tcPr>
          <w:p w:rsidR="00C745E9" w:rsidRPr="00810036" w:rsidRDefault="00B512B1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sz w:val="18"/>
                <w:szCs w:val="18"/>
                <w:lang w:val="ca-ES"/>
              </w:rPr>
              <w:t>Licitació:</w:t>
            </w:r>
          </w:p>
          <w:p w:rsidR="003B5A50" w:rsidRDefault="003B5A50" w:rsidP="003E523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1: 22.448,32€</w:t>
            </w:r>
          </w:p>
          <w:p w:rsidR="003B5A50" w:rsidRDefault="003B5A50" w:rsidP="003E523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2: 17.385,72€</w:t>
            </w:r>
          </w:p>
          <w:p w:rsidR="003B5A50" w:rsidRDefault="003B5A50" w:rsidP="003E523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3: 15.803,00€</w:t>
            </w:r>
          </w:p>
          <w:p w:rsidR="003B5A50" w:rsidRPr="00810036" w:rsidRDefault="003B5A50" w:rsidP="003E523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4: 2.132,26€</w:t>
            </w:r>
          </w:p>
          <w:p w:rsidR="003E5238" w:rsidRPr="00810036" w:rsidRDefault="003E5238" w:rsidP="003E523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3E5238" w:rsidRDefault="003E523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sz w:val="18"/>
                <w:szCs w:val="18"/>
                <w:lang w:val="ca-ES"/>
              </w:rPr>
              <w:t>Adjudicació:</w:t>
            </w:r>
          </w:p>
          <w:p w:rsidR="003B5A50" w:rsidRDefault="003B5A50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1: 17.986,42€</w:t>
            </w:r>
          </w:p>
          <w:p w:rsidR="003B5A50" w:rsidRDefault="003B5A50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2: 11.820,00€</w:t>
            </w:r>
          </w:p>
          <w:p w:rsidR="003B5A50" w:rsidRDefault="008E323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Lot 3: 11.544,15</w:t>
            </w:r>
            <w:r w:rsidR="003B5A50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3E5238" w:rsidRPr="00810036" w:rsidRDefault="003B5A50" w:rsidP="00B17F6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4:  1.816,01€</w:t>
            </w:r>
          </w:p>
        </w:tc>
        <w:tc>
          <w:tcPr>
            <w:tcW w:w="1533" w:type="dxa"/>
            <w:vAlign w:val="center"/>
          </w:tcPr>
          <w:p w:rsidR="00C745E9" w:rsidRPr="00810036" w:rsidRDefault="003E523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Adjudicació:</w:t>
            </w:r>
          </w:p>
          <w:p w:rsidR="003E5238" w:rsidRDefault="008E323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10/10/2017</w:t>
            </w:r>
          </w:p>
          <w:p w:rsidR="008E3232" w:rsidRDefault="008E323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8E3232" w:rsidRDefault="008E323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 setmanes</w:t>
            </w:r>
          </w:p>
          <w:p w:rsidR="003E5238" w:rsidRPr="00810036" w:rsidRDefault="003E523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3E5238" w:rsidRPr="00810036" w:rsidRDefault="003E523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sz w:val="18"/>
                <w:szCs w:val="18"/>
                <w:lang w:val="ca-ES"/>
              </w:rPr>
              <w:t>Formalització:</w:t>
            </w:r>
          </w:p>
          <w:p w:rsidR="003E5238" w:rsidRDefault="008E323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Lots 1, 3 i 4: 30/10/2017</w:t>
            </w:r>
          </w:p>
          <w:p w:rsidR="008E3232" w:rsidRPr="00810036" w:rsidRDefault="008E323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2: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07/11/2017</w:t>
            </w:r>
          </w:p>
        </w:tc>
        <w:tc>
          <w:tcPr>
            <w:tcW w:w="1985" w:type="dxa"/>
            <w:vAlign w:val="center"/>
          </w:tcPr>
          <w:p w:rsidR="00C745E9" w:rsidRDefault="008E323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Lots 1, 3 i 4: HPC Iberica, S.A.</w:t>
            </w:r>
          </w:p>
          <w:p w:rsidR="008E3232" w:rsidRDefault="008E323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8E3232" w:rsidRPr="00810036" w:rsidRDefault="008E323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2: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Happy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Ludic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Playground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and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Urban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Equipament, S.L.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C745E9" w:rsidRPr="00810036" w:rsidRDefault="00595F89" w:rsidP="00E92DE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4 </w:t>
            </w:r>
            <w:r w:rsidR="00E92DE6">
              <w:rPr>
                <w:rFonts w:ascii="Open Sans" w:hAnsi="Open Sans" w:cs="Open Sans"/>
                <w:sz w:val="18"/>
                <w:szCs w:val="18"/>
                <w:lang w:val="ca-ES"/>
              </w:rPr>
              <w:t>licitadors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C745E9" w:rsidRPr="00810036" w:rsidRDefault="003E5238" w:rsidP="00C745E9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 preu fins </w:t>
            </w:r>
            <w:r w:rsidR="008E3232">
              <w:rPr>
                <w:rFonts w:ascii="Open Sans" w:hAnsi="Open Sans" w:cs="Open Sans"/>
                <w:sz w:val="18"/>
                <w:szCs w:val="18"/>
                <w:lang w:val="ca-ES"/>
              </w:rPr>
              <w:t>a 5</w:t>
            </w:r>
            <w:r w:rsidRPr="00810036">
              <w:rPr>
                <w:rFonts w:ascii="Open Sans" w:hAnsi="Open Sans" w:cs="Open Sans"/>
                <w:sz w:val="18"/>
                <w:szCs w:val="18"/>
                <w:lang w:val="ca-ES"/>
              </w:rPr>
              <w:t>0 punts</w:t>
            </w:r>
          </w:p>
          <w:p w:rsidR="003E5238" w:rsidRDefault="008E3232" w:rsidP="008E3232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Millora senyalització f</w:t>
            </w:r>
            <w:r w:rsidR="003E5238" w:rsidRPr="00810036">
              <w:rPr>
                <w:rFonts w:ascii="Open Sans" w:hAnsi="Open Sans" w:cs="Open Sans"/>
                <w:sz w:val="18"/>
                <w:szCs w:val="18"/>
                <w:lang w:val="ca-ES"/>
              </w:rPr>
              <w:t>ins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</w:t>
            </w:r>
            <w:r w:rsidR="003E5238" w:rsidRPr="00810036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15</w:t>
            </w:r>
            <w:r w:rsidR="003E5238" w:rsidRPr="00810036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8E3232" w:rsidRPr="00810036" w:rsidRDefault="008E3232" w:rsidP="008E3232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Millora garantia fins a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15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C745E9" w:rsidRPr="00810036" w:rsidRDefault="00C745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451683" w:rsidRPr="00810036" w:rsidTr="00CF1459">
        <w:trPr>
          <w:trHeight w:val="555"/>
        </w:trPr>
        <w:tc>
          <w:tcPr>
            <w:tcW w:w="636" w:type="dxa"/>
            <w:vAlign w:val="center"/>
          </w:tcPr>
          <w:p w:rsidR="00451683" w:rsidRDefault="00451683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4</w:t>
            </w:r>
          </w:p>
        </w:tc>
        <w:tc>
          <w:tcPr>
            <w:tcW w:w="3783" w:type="dxa"/>
            <w:vAlign w:val="center"/>
          </w:tcPr>
          <w:p w:rsidR="00451683" w:rsidRPr="00810036" w:rsidRDefault="00451683" w:rsidP="00451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Contracte de les obres incloses en el projecte de rehabilitació de ferms de diversos carrers de la Vila d’Argentona (Exp. 2263/2016)</w:t>
            </w:r>
          </w:p>
        </w:tc>
        <w:tc>
          <w:tcPr>
            <w:tcW w:w="1701" w:type="dxa"/>
            <w:vAlign w:val="center"/>
          </w:tcPr>
          <w:p w:rsidR="00451683" w:rsidRDefault="00451683" w:rsidP="00B512B1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451683" w:rsidRPr="00810036" w:rsidRDefault="00451683" w:rsidP="00B512B1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Tramitació Ordinària </w:t>
            </w:r>
          </w:p>
        </w:tc>
        <w:tc>
          <w:tcPr>
            <w:tcW w:w="1727" w:type="dxa"/>
            <w:vAlign w:val="center"/>
          </w:tcPr>
          <w:p w:rsidR="00451683" w:rsidRDefault="00451683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Licitació: 123.539,73€</w:t>
            </w:r>
          </w:p>
          <w:p w:rsidR="00451683" w:rsidRDefault="00451683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451683" w:rsidRDefault="00451683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Adjudicació:</w:t>
            </w:r>
          </w:p>
          <w:p w:rsidR="00451683" w:rsidRPr="00810036" w:rsidRDefault="00451683" w:rsidP="00DF34E0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  <w:r w:rsidR="00DF34E0">
              <w:rPr>
                <w:rFonts w:ascii="Open Sans" w:hAnsi="Open Sans" w:cs="Open Sans"/>
                <w:sz w:val="18"/>
                <w:szCs w:val="18"/>
                <w:lang w:val="ca-ES"/>
              </w:rPr>
              <w:t>12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.</w:t>
            </w:r>
            <w:r w:rsidR="00DF34E0">
              <w:rPr>
                <w:rFonts w:ascii="Open Sans" w:hAnsi="Open Sans" w:cs="Open Sans"/>
                <w:sz w:val="18"/>
                <w:szCs w:val="18"/>
                <w:lang w:val="ca-ES"/>
              </w:rPr>
              <w:t>463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,</w:t>
            </w:r>
            <w:r w:rsidR="00DF34E0">
              <w:rPr>
                <w:rFonts w:ascii="Open Sans" w:hAnsi="Open Sans" w:cs="Open Sans"/>
                <w:sz w:val="18"/>
                <w:szCs w:val="18"/>
                <w:lang w:val="ca-ES"/>
              </w:rPr>
              <w:t>00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</w:tc>
        <w:tc>
          <w:tcPr>
            <w:tcW w:w="1533" w:type="dxa"/>
            <w:vAlign w:val="center"/>
          </w:tcPr>
          <w:p w:rsidR="00451683" w:rsidRDefault="00451683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Adjudicació: 15/06/2017</w:t>
            </w:r>
          </w:p>
          <w:p w:rsidR="00451683" w:rsidRDefault="00451683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451683" w:rsidRDefault="00451683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 setmanes</w:t>
            </w:r>
          </w:p>
          <w:p w:rsidR="00451683" w:rsidRDefault="00451683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451683" w:rsidRDefault="00451683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Formalització:</w:t>
            </w:r>
          </w:p>
          <w:p w:rsidR="00451683" w:rsidRPr="00810036" w:rsidRDefault="00451683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30/06/2017</w:t>
            </w:r>
          </w:p>
        </w:tc>
        <w:tc>
          <w:tcPr>
            <w:tcW w:w="1985" w:type="dxa"/>
            <w:vAlign w:val="center"/>
          </w:tcPr>
          <w:p w:rsidR="00451683" w:rsidRDefault="00451683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Construcciones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Deumal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, S.A.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451683" w:rsidRDefault="00451683" w:rsidP="00E92DE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6 licitadors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451683" w:rsidRDefault="00451683" w:rsidP="00C745E9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Millor preu a la baixa fins a 30 punts</w:t>
            </w:r>
          </w:p>
          <w:p w:rsidR="00451683" w:rsidRPr="00810036" w:rsidRDefault="00451683" w:rsidP="00C745E9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Millores fins a 10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451683" w:rsidRDefault="00451683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885B5A" w:rsidRPr="00810036" w:rsidRDefault="00885B5A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885B5A" w:rsidRPr="00885B5A" w:rsidTr="00CF1459">
        <w:trPr>
          <w:trHeight w:val="555"/>
        </w:trPr>
        <w:tc>
          <w:tcPr>
            <w:tcW w:w="636" w:type="dxa"/>
            <w:vAlign w:val="center"/>
          </w:tcPr>
          <w:p w:rsidR="00885B5A" w:rsidRDefault="00885B5A" w:rsidP="00E1211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</w:t>
            </w:r>
          </w:p>
        </w:tc>
        <w:tc>
          <w:tcPr>
            <w:tcW w:w="3783" w:type="dxa"/>
            <w:vAlign w:val="center"/>
          </w:tcPr>
          <w:p w:rsidR="00885B5A" w:rsidRDefault="00885B5A" w:rsidP="00E12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</w:t>
            </w:r>
            <w:r>
              <w:rPr>
                <w:rFonts w:ascii="Open Sans" w:hAnsi="Open Sans" w:cs="Open Sans"/>
                <w:bCs/>
                <w:sz w:val="18"/>
                <w:szCs w:val="18"/>
                <w:lang w:val="ca-ES"/>
              </w:rPr>
              <w:t>d’obres d’adequació interior del pavelló vell dins el complex del pavelló esportiu municipal</w:t>
            </w:r>
          </w:p>
        </w:tc>
        <w:tc>
          <w:tcPr>
            <w:tcW w:w="1701" w:type="dxa"/>
            <w:vAlign w:val="center"/>
          </w:tcPr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Procediment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Obert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Tramitació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Ordinària</w:t>
            </w:r>
          </w:p>
        </w:tc>
        <w:tc>
          <w:tcPr>
            <w:tcW w:w="1727" w:type="dxa"/>
            <w:vAlign w:val="center"/>
          </w:tcPr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Licitació: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1:   </w:t>
            </w:r>
            <w:r w:rsidRPr="00885B5A">
              <w:rPr>
                <w:rFonts w:ascii="Open Sans" w:eastAsia="Arial" w:hAnsi="Open Sans" w:cs="Open Sans"/>
                <w:sz w:val="18"/>
                <w:szCs w:val="18"/>
                <w:lang w:val="en-US"/>
              </w:rPr>
              <w:t>14.710,73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2:   </w:t>
            </w:r>
            <w:r w:rsidRPr="00885B5A">
              <w:rPr>
                <w:rFonts w:ascii="Open Sans" w:eastAsia="Arial" w:hAnsi="Open Sans" w:cs="Open Sans"/>
                <w:sz w:val="18"/>
                <w:szCs w:val="18"/>
                <w:lang w:val="en-US"/>
              </w:rPr>
              <w:t>35.275,54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3: </w:t>
            </w:r>
            <w:r w:rsidRPr="00885B5A">
              <w:rPr>
                <w:rFonts w:ascii="Open Sans" w:eastAsia="Arial" w:hAnsi="Open Sans" w:cs="Open Sans"/>
                <w:sz w:val="18"/>
                <w:szCs w:val="18"/>
                <w:lang w:val="en-US"/>
              </w:rPr>
              <w:t>128.250,83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4:   </w:t>
            </w:r>
            <w:r w:rsidRPr="00885B5A">
              <w:rPr>
                <w:rFonts w:ascii="Open Sans" w:eastAsia="Calibri" w:hAnsi="Open Sans" w:cs="Open Sans"/>
                <w:sz w:val="18"/>
                <w:szCs w:val="18"/>
                <w:lang w:val="en-US"/>
              </w:rPr>
              <w:t>11.368,07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Adjudicació: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1: </w:t>
            </w:r>
            <w:r w:rsidRPr="00885B5A">
              <w:rPr>
                <w:rFonts w:ascii="Open Sans" w:hAnsi="Open Sans" w:cs="Open Sans"/>
                <w:sz w:val="18"/>
                <w:szCs w:val="18"/>
                <w:lang w:val="en-US"/>
              </w:rPr>
              <w:t>12.805,00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2: </w:t>
            </w:r>
            <w:r w:rsidRPr="00885B5A">
              <w:rPr>
                <w:rFonts w:ascii="Open Sans" w:hAnsi="Open Sans" w:cs="Open Sans"/>
                <w:sz w:val="18"/>
                <w:szCs w:val="18"/>
                <w:lang w:val="en-US"/>
              </w:rPr>
              <w:t>30.689,72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3: </w:t>
            </w:r>
            <w:r w:rsidRPr="00885B5A">
              <w:rPr>
                <w:rFonts w:ascii="Open Sans" w:hAnsi="Open Sans" w:cs="Open Sans"/>
                <w:sz w:val="18"/>
                <w:szCs w:val="18"/>
                <w:lang w:val="en-US"/>
              </w:rPr>
              <w:t>99.682,63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4:   </w:t>
            </w:r>
            <w:r w:rsidRPr="00885B5A">
              <w:rPr>
                <w:rFonts w:ascii="Open Sans" w:hAnsi="Open Sans" w:cs="Open Sans"/>
                <w:spacing w:val="-3"/>
                <w:sz w:val="18"/>
                <w:szCs w:val="18"/>
                <w:lang w:val="en-US"/>
              </w:rPr>
              <w:t>9.203,31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Align w:val="center"/>
          </w:tcPr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Adjudicació: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29/09/2017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Depèn de la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calendaritzaciò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de cada lot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Formalització:</w:t>
            </w:r>
          </w:p>
          <w:p w:rsidR="00885B5A" w:rsidRDefault="00885B5A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1: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16/10/17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</w:p>
          <w:p w:rsidR="00885B5A" w:rsidRDefault="00885B5A" w:rsidP="00885B5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2: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23/10/17</w:t>
            </w:r>
          </w:p>
          <w:p w:rsidR="00885B5A" w:rsidRDefault="00885B5A" w:rsidP="00885B5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3: 17/10/17</w:t>
            </w:r>
          </w:p>
          <w:p w:rsidR="00885B5A" w:rsidRDefault="00885B5A" w:rsidP="00885B5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4: 19/10/17</w:t>
            </w:r>
          </w:p>
        </w:tc>
        <w:tc>
          <w:tcPr>
            <w:tcW w:w="1985" w:type="dxa"/>
            <w:vAlign w:val="center"/>
          </w:tcPr>
          <w:p w:rsidR="00885B5A" w:rsidRPr="00885B5A" w:rsidRDefault="00885B5A" w:rsidP="00885B5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885B5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1: </w:t>
            </w:r>
            <w:proofErr w:type="spellStart"/>
            <w:r w:rsidRPr="00885B5A">
              <w:rPr>
                <w:rFonts w:ascii="Open Sans" w:hAnsi="Open Sans" w:cs="Open Sans"/>
                <w:sz w:val="18"/>
                <w:szCs w:val="18"/>
              </w:rPr>
              <w:t>Galitec</w:t>
            </w:r>
            <w:proofErr w:type="spellEnd"/>
            <w:r w:rsidRPr="00885B5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>Desarrollos Tecnoló</w:t>
            </w:r>
            <w:r w:rsidRPr="00885B5A">
              <w:rPr>
                <w:rFonts w:ascii="Open Sans" w:hAnsi="Open Sans" w:cs="Open Sans"/>
                <w:sz w:val="18"/>
                <w:szCs w:val="18"/>
              </w:rPr>
              <w:t>gicos, S.L.</w:t>
            </w:r>
          </w:p>
          <w:p w:rsidR="00885B5A" w:rsidRPr="00885B5A" w:rsidRDefault="00885B5A" w:rsidP="00885B5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885B5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2: </w:t>
            </w:r>
            <w:r w:rsidRPr="00885B5A">
              <w:rPr>
                <w:rFonts w:ascii="Open Sans" w:hAnsi="Open Sans" w:cs="Open Sans"/>
                <w:sz w:val="18"/>
                <w:szCs w:val="18"/>
              </w:rPr>
              <w:t xml:space="preserve">Construcciones y Servicios </w:t>
            </w:r>
            <w:proofErr w:type="spellStart"/>
            <w:r w:rsidRPr="00885B5A">
              <w:rPr>
                <w:rFonts w:ascii="Open Sans" w:hAnsi="Open Sans" w:cs="Open Sans"/>
                <w:sz w:val="18"/>
                <w:szCs w:val="18"/>
              </w:rPr>
              <w:t>Faus</w:t>
            </w:r>
            <w:proofErr w:type="spellEnd"/>
            <w:r w:rsidRPr="00885B5A">
              <w:rPr>
                <w:rFonts w:ascii="Open Sans" w:hAnsi="Open Sans" w:cs="Open Sans"/>
                <w:sz w:val="18"/>
                <w:szCs w:val="18"/>
              </w:rPr>
              <w:t>, S.A.</w:t>
            </w:r>
          </w:p>
          <w:p w:rsidR="00885B5A" w:rsidRPr="00885B5A" w:rsidRDefault="00885B5A" w:rsidP="00885B5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885B5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3: </w:t>
            </w:r>
            <w:r w:rsidRPr="00885B5A">
              <w:rPr>
                <w:rFonts w:ascii="Open Sans" w:hAnsi="Open Sans" w:cs="Open Sans"/>
                <w:sz w:val="18"/>
                <w:szCs w:val="18"/>
                <w:lang w:val="en-US"/>
              </w:rPr>
              <w:t>PL Sports, S.L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.</w:t>
            </w:r>
          </w:p>
          <w:p w:rsidR="00885B5A" w:rsidRPr="00885B5A" w:rsidRDefault="00885B5A" w:rsidP="00885B5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885B5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4: </w:t>
            </w:r>
            <w:r w:rsidRPr="00885B5A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Pol </w:t>
            </w:r>
            <w:proofErr w:type="spellStart"/>
            <w:r w:rsidRPr="00885B5A">
              <w:rPr>
                <w:rFonts w:ascii="Open Sans" w:hAnsi="Open Sans" w:cs="Open Sans"/>
                <w:sz w:val="18"/>
                <w:szCs w:val="18"/>
                <w:lang w:val="en-US"/>
              </w:rPr>
              <w:t>Ramentol</w:t>
            </w:r>
            <w:proofErr w:type="spellEnd"/>
            <w:r w:rsidRPr="00885B5A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i</w:t>
            </w:r>
            <w:r w:rsidRPr="00885B5A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5B5A">
              <w:rPr>
                <w:rFonts w:ascii="Open Sans" w:hAnsi="Open Sans" w:cs="Open Sans"/>
                <w:sz w:val="18"/>
                <w:szCs w:val="18"/>
                <w:lang w:val="en-US"/>
              </w:rPr>
              <w:t>Peradejordi</w:t>
            </w:r>
            <w:proofErr w:type="spellEnd"/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885B5A" w:rsidRDefault="00885B5A" w:rsidP="00E92DE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Lot 1: </w:t>
            </w:r>
          </w:p>
          <w:p w:rsidR="00885B5A" w:rsidRDefault="00885B5A" w:rsidP="00E92DE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3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licitadors</w:t>
            </w:r>
            <w:proofErr w:type="spellEnd"/>
          </w:p>
          <w:p w:rsidR="00885B5A" w:rsidRDefault="00885B5A" w:rsidP="00E92DE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Lot 2: </w:t>
            </w:r>
          </w:p>
          <w:p w:rsidR="00885B5A" w:rsidRDefault="00885B5A" w:rsidP="00E92DE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2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licitadors</w:t>
            </w:r>
            <w:proofErr w:type="spellEnd"/>
          </w:p>
          <w:p w:rsidR="00885B5A" w:rsidRDefault="00885B5A" w:rsidP="00E92DE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Lot 3:</w:t>
            </w:r>
          </w:p>
          <w:p w:rsidR="00885B5A" w:rsidRDefault="00885B5A" w:rsidP="00E92DE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4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licitadors</w:t>
            </w:r>
            <w:proofErr w:type="spellEnd"/>
          </w:p>
          <w:p w:rsidR="00885B5A" w:rsidRDefault="00885B5A" w:rsidP="00E92DE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Lot 4:</w:t>
            </w:r>
          </w:p>
          <w:p w:rsidR="00885B5A" w:rsidRPr="00885B5A" w:rsidRDefault="008C4D5D" w:rsidP="00E92DE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1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licitador</w:t>
            </w:r>
            <w:proofErr w:type="spellEnd"/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C4D5D" w:rsidRDefault="008C4D5D" w:rsidP="008C4D5D">
            <w:pPr>
              <w:tabs>
                <w:tab w:val="left" w:pos="213"/>
              </w:tabs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1 i 4: </w:t>
            </w:r>
          </w:p>
          <w:p w:rsidR="008C4D5D" w:rsidRDefault="008C4D5D" w:rsidP="008C4D5D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8C4D5D">
              <w:rPr>
                <w:rFonts w:ascii="Open Sans" w:hAnsi="Open Sans" w:cs="Open Sans"/>
                <w:sz w:val="18"/>
                <w:szCs w:val="18"/>
                <w:lang w:val="ca-ES"/>
              </w:rPr>
              <w:t>Millor preu</w:t>
            </w:r>
          </w:p>
          <w:p w:rsidR="00885B5A" w:rsidRDefault="008C4D5D" w:rsidP="008C4D5D">
            <w:pPr>
              <w:pStyle w:val="Prrafodelista"/>
              <w:tabs>
                <w:tab w:val="left" w:pos="213"/>
              </w:tabs>
              <w:spacing w:after="0" w:line="240" w:lineRule="auto"/>
              <w:ind w:left="0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fins 100 punts</w:t>
            </w:r>
          </w:p>
          <w:p w:rsidR="008C4D5D" w:rsidRDefault="008C4D5D" w:rsidP="008C4D5D">
            <w:pPr>
              <w:tabs>
                <w:tab w:val="left" w:pos="213"/>
              </w:tabs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8C4D5D" w:rsidRDefault="008C4D5D" w:rsidP="008C4D5D">
            <w:pPr>
              <w:tabs>
                <w:tab w:val="left" w:pos="213"/>
              </w:tabs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2: </w:t>
            </w:r>
          </w:p>
          <w:p w:rsidR="008C4D5D" w:rsidRDefault="008C4D5D" w:rsidP="008C4D5D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8C4D5D">
              <w:rPr>
                <w:rFonts w:ascii="Open Sans" w:hAnsi="Open Sans" w:cs="Open Sans"/>
                <w:sz w:val="18"/>
                <w:szCs w:val="18"/>
                <w:lang w:val="ca-ES"/>
              </w:rPr>
              <w:t>Millor preu</w:t>
            </w:r>
          </w:p>
          <w:p w:rsidR="008C4D5D" w:rsidRDefault="008C4D5D" w:rsidP="008C4D5D">
            <w:pPr>
              <w:pStyle w:val="Prrafodelista"/>
              <w:tabs>
                <w:tab w:val="left" w:pos="213"/>
              </w:tabs>
              <w:spacing w:after="0" w:line="240" w:lineRule="auto"/>
              <w:ind w:left="0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fins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85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8C4D5D" w:rsidRDefault="008C4D5D" w:rsidP="008C4D5D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34" w:firstLine="30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Millora garantia fins 15 punts</w:t>
            </w:r>
          </w:p>
          <w:p w:rsidR="008C4D5D" w:rsidRDefault="008C4D5D" w:rsidP="008C4D5D">
            <w:pPr>
              <w:pStyle w:val="Prrafodelista"/>
              <w:tabs>
                <w:tab w:val="left" w:pos="213"/>
              </w:tabs>
              <w:spacing w:after="0" w:line="240" w:lineRule="auto"/>
              <w:ind w:left="64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8C4D5D" w:rsidRDefault="008C4D5D" w:rsidP="008C4D5D">
            <w:pPr>
              <w:pStyle w:val="Prrafodelista"/>
              <w:tabs>
                <w:tab w:val="left" w:pos="213"/>
              </w:tabs>
              <w:spacing w:after="0" w:line="240" w:lineRule="auto"/>
              <w:ind w:left="64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3:</w:t>
            </w:r>
          </w:p>
          <w:p w:rsidR="008C4D5D" w:rsidRDefault="008C4D5D" w:rsidP="008C4D5D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8C4D5D">
              <w:rPr>
                <w:rFonts w:ascii="Open Sans" w:hAnsi="Open Sans" w:cs="Open Sans"/>
                <w:sz w:val="18"/>
                <w:szCs w:val="18"/>
                <w:lang w:val="ca-ES"/>
              </w:rPr>
              <w:t>Millor preu</w:t>
            </w:r>
          </w:p>
          <w:p w:rsidR="008C4D5D" w:rsidRDefault="008C4D5D" w:rsidP="008C4D5D">
            <w:pPr>
              <w:pStyle w:val="Prrafodelista"/>
              <w:tabs>
                <w:tab w:val="left" w:pos="213"/>
              </w:tabs>
              <w:spacing w:after="0" w:line="240" w:lineRule="auto"/>
              <w:ind w:left="0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fins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70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8C4D5D" w:rsidRDefault="00AD78A9" w:rsidP="008C4D5D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34" w:firstLine="30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Millora termini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exec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. fins 15 punts</w:t>
            </w:r>
          </w:p>
          <w:p w:rsidR="008C4D5D" w:rsidRPr="008C4D5D" w:rsidRDefault="008C4D5D" w:rsidP="00B17F69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34" w:firstLine="30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Millora garantia fins 15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885B5A" w:rsidRDefault="00885B5A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F9128C" w:rsidRPr="00B17F69" w:rsidTr="00CF1459">
        <w:trPr>
          <w:trHeight w:val="555"/>
        </w:trPr>
        <w:tc>
          <w:tcPr>
            <w:tcW w:w="636" w:type="dxa"/>
            <w:vAlign w:val="center"/>
          </w:tcPr>
          <w:p w:rsidR="00F9128C" w:rsidRDefault="00F9128C" w:rsidP="00E1211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6</w:t>
            </w:r>
          </w:p>
        </w:tc>
        <w:tc>
          <w:tcPr>
            <w:tcW w:w="3783" w:type="dxa"/>
            <w:vAlign w:val="center"/>
          </w:tcPr>
          <w:p w:rsidR="00F9128C" w:rsidRPr="00F9128C" w:rsidRDefault="00F9128C" w:rsidP="00F91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F9128C">
              <w:rPr>
                <w:rFonts w:ascii="Open Sans" w:hAnsi="Open Sans" w:cs="Open Sans"/>
                <w:bCs/>
                <w:sz w:val="18"/>
                <w:szCs w:val="18"/>
                <w:lang w:val="ca-ES"/>
              </w:rPr>
              <w:t>Contracte d’arrendament de dues motocicletes per a la Policia Local</w:t>
            </w:r>
          </w:p>
        </w:tc>
        <w:tc>
          <w:tcPr>
            <w:tcW w:w="1701" w:type="dxa"/>
            <w:vAlign w:val="center"/>
          </w:tcPr>
          <w:p w:rsidR="00F9128C" w:rsidRDefault="00F9128C" w:rsidP="00F9128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Procediment</w:t>
            </w:r>
          </w:p>
          <w:p w:rsidR="00F9128C" w:rsidRDefault="00F9128C" w:rsidP="00F9128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Obert</w:t>
            </w:r>
          </w:p>
          <w:p w:rsidR="00F9128C" w:rsidRDefault="00F9128C" w:rsidP="00F9128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Tramitació</w:t>
            </w:r>
          </w:p>
          <w:p w:rsidR="00F9128C" w:rsidRDefault="00F9128C" w:rsidP="00F9128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Ordinària</w:t>
            </w:r>
          </w:p>
        </w:tc>
        <w:tc>
          <w:tcPr>
            <w:tcW w:w="1727" w:type="dxa"/>
            <w:vAlign w:val="center"/>
          </w:tcPr>
          <w:p w:rsidR="00F9128C" w:rsidRDefault="00F9128C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F9128C">
              <w:rPr>
                <w:rFonts w:ascii="Open Sans" w:hAnsi="Open Sans" w:cs="Open Sans"/>
                <w:sz w:val="18"/>
                <w:szCs w:val="18"/>
                <w:lang w:val="ca-ES"/>
              </w:rPr>
              <w:t>Licitació:</w:t>
            </w:r>
            <w:r w:rsidRPr="00F91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:rsidR="00F9128C" w:rsidRDefault="00F9128C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F9128C">
              <w:rPr>
                <w:rFonts w:ascii="Open Sans" w:hAnsi="Open Sans" w:cs="Open Sans"/>
                <w:sz w:val="18"/>
                <w:szCs w:val="18"/>
              </w:rPr>
              <w:t>560,00 €</w:t>
            </w:r>
            <w:r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F9128C">
              <w:rPr>
                <w:rFonts w:ascii="Open Sans" w:hAnsi="Open Sans" w:cs="Open Sans"/>
                <w:sz w:val="18"/>
                <w:szCs w:val="18"/>
              </w:rPr>
              <w:t>mensuals</w:t>
            </w:r>
            <w:proofErr w:type="spellEnd"/>
          </w:p>
          <w:p w:rsidR="00F9128C" w:rsidRPr="00F9128C" w:rsidRDefault="00F9128C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eastAsia="ca-ES"/>
              </w:rPr>
            </w:pPr>
            <w:r w:rsidRPr="00F9128C">
              <w:rPr>
                <w:rFonts w:ascii="Open Sans" w:hAnsi="Open Sans" w:cs="Open Sans"/>
                <w:sz w:val="18"/>
                <w:szCs w:val="18"/>
              </w:rPr>
              <w:t>-</w:t>
            </w:r>
            <w:proofErr w:type="spellStart"/>
            <w:r w:rsidRPr="00F9128C">
              <w:rPr>
                <w:rFonts w:ascii="Open Sans" w:hAnsi="Open Sans" w:cs="Open Sans"/>
                <w:sz w:val="18"/>
                <w:szCs w:val="18"/>
              </w:rPr>
              <w:t>Lloguer</w:t>
            </w:r>
            <w:proofErr w:type="spellEnd"/>
            <w:r w:rsidRPr="00F91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F9128C">
              <w:rPr>
                <w:rFonts w:ascii="Open Sans" w:hAnsi="Open Sans" w:cs="Open Sans"/>
                <w:sz w:val="18"/>
                <w:szCs w:val="18"/>
                <w:lang w:eastAsia="ca-ES"/>
              </w:rPr>
              <w:t>286€/mes</w:t>
            </w:r>
          </w:p>
          <w:p w:rsidR="00F9128C" w:rsidRDefault="00F9128C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eastAsia="ca-ES"/>
              </w:rPr>
            </w:pPr>
            <w:r w:rsidRPr="00F9128C">
              <w:rPr>
                <w:rFonts w:ascii="Open Sans" w:hAnsi="Open Sans" w:cs="Open Sans"/>
                <w:sz w:val="18"/>
                <w:szCs w:val="18"/>
                <w:lang w:eastAsia="ca-ES"/>
              </w:rPr>
              <w:t>-</w:t>
            </w:r>
            <w:proofErr w:type="spellStart"/>
            <w:r w:rsidRPr="00F9128C">
              <w:rPr>
                <w:rFonts w:ascii="Open Sans" w:hAnsi="Open Sans" w:cs="Open Sans"/>
                <w:sz w:val="18"/>
                <w:szCs w:val="18"/>
                <w:lang w:eastAsia="ca-ES"/>
              </w:rPr>
              <w:t>Mto</w:t>
            </w:r>
            <w:proofErr w:type="spellEnd"/>
            <w:r w:rsidRPr="00F9128C">
              <w:rPr>
                <w:rFonts w:ascii="Open Sans" w:hAnsi="Open Sans" w:cs="Open Sans"/>
                <w:sz w:val="18"/>
                <w:szCs w:val="18"/>
                <w:lang w:eastAsia="ca-ES"/>
              </w:rPr>
              <w:t>. 274€/mes</w:t>
            </w:r>
          </w:p>
          <w:p w:rsidR="00B17F69" w:rsidRPr="00F9128C" w:rsidRDefault="00B17F69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F9128C" w:rsidRDefault="00F9128C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Adjudicació:</w:t>
            </w:r>
          </w:p>
          <w:p w:rsidR="00F9128C" w:rsidRDefault="00F9128C" w:rsidP="00F9128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F9128C">
              <w:rPr>
                <w:rFonts w:ascii="Open Sans" w:hAnsi="Open Sans" w:cs="Open Sans"/>
                <w:sz w:val="18"/>
                <w:szCs w:val="18"/>
              </w:rPr>
              <w:t>560,00 €</w:t>
            </w:r>
            <w:r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F9128C">
              <w:rPr>
                <w:rFonts w:ascii="Open Sans" w:hAnsi="Open Sans" w:cs="Open Sans"/>
                <w:sz w:val="18"/>
                <w:szCs w:val="18"/>
              </w:rPr>
              <w:t>mensuals</w:t>
            </w:r>
            <w:proofErr w:type="spellEnd"/>
          </w:p>
          <w:p w:rsidR="00F9128C" w:rsidRPr="00F9128C" w:rsidRDefault="00F9128C" w:rsidP="00F9128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eastAsia="ca-ES"/>
              </w:rPr>
            </w:pPr>
            <w:r w:rsidRPr="00F9128C">
              <w:rPr>
                <w:rFonts w:ascii="Open Sans" w:hAnsi="Open Sans" w:cs="Open Sans"/>
                <w:sz w:val="18"/>
                <w:szCs w:val="18"/>
              </w:rPr>
              <w:t>-</w:t>
            </w:r>
            <w:proofErr w:type="spellStart"/>
            <w:r w:rsidRPr="00F9128C">
              <w:rPr>
                <w:rFonts w:ascii="Open Sans" w:hAnsi="Open Sans" w:cs="Open Sans"/>
                <w:sz w:val="18"/>
                <w:szCs w:val="18"/>
              </w:rPr>
              <w:t>Lloguer</w:t>
            </w:r>
            <w:proofErr w:type="spellEnd"/>
            <w:r w:rsidRPr="00F9128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eastAsia="ca-ES"/>
              </w:rPr>
              <w:t>170,94</w:t>
            </w:r>
            <w:r w:rsidRPr="00F9128C">
              <w:rPr>
                <w:rFonts w:ascii="Open Sans" w:hAnsi="Open Sans" w:cs="Open Sans"/>
                <w:sz w:val="18"/>
                <w:szCs w:val="18"/>
                <w:lang w:eastAsia="ca-ES"/>
              </w:rPr>
              <w:t>€/mes</w:t>
            </w:r>
          </w:p>
          <w:p w:rsidR="00F9128C" w:rsidRDefault="00F9128C" w:rsidP="00B17F6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F9128C">
              <w:rPr>
                <w:rFonts w:ascii="Open Sans" w:hAnsi="Open Sans" w:cs="Open Sans"/>
                <w:sz w:val="18"/>
                <w:szCs w:val="18"/>
                <w:lang w:eastAsia="ca-ES"/>
              </w:rPr>
              <w:t>-</w:t>
            </w:r>
            <w:proofErr w:type="spellStart"/>
            <w:r w:rsidRPr="00F9128C">
              <w:rPr>
                <w:rFonts w:ascii="Open Sans" w:hAnsi="Open Sans" w:cs="Open Sans"/>
                <w:sz w:val="18"/>
                <w:szCs w:val="18"/>
                <w:lang w:eastAsia="ca-ES"/>
              </w:rPr>
              <w:t>Mto</w:t>
            </w:r>
            <w:proofErr w:type="spellEnd"/>
            <w:r w:rsidRPr="00F9128C">
              <w:rPr>
                <w:rFonts w:ascii="Open Sans" w:hAnsi="Open Sans" w:cs="Open Sans"/>
                <w:sz w:val="18"/>
                <w:szCs w:val="18"/>
                <w:lang w:eastAsia="ca-ES"/>
              </w:rPr>
              <w:t xml:space="preserve">. </w:t>
            </w:r>
            <w:r>
              <w:rPr>
                <w:rFonts w:ascii="Open Sans" w:hAnsi="Open Sans" w:cs="Open Sans"/>
                <w:sz w:val="18"/>
                <w:szCs w:val="18"/>
                <w:lang w:eastAsia="ca-ES"/>
              </w:rPr>
              <w:t>374,06</w:t>
            </w:r>
            <w:r w:rsidRPr="00F9128C">
              <w:rPr>
                <w:rFonts w:ascii="Open Sans" w:hAnsi="Open Sans" w:cs="Open Sans"/>
                <w:sz w:val="18"/>
                <w:szCs w:val="18"/>
                <w:lang w:eastAsia="ca-ES"/>
              </w:rPr>
              <w:t>€/mes</w:t>
            </w:r>
            <w:bookmarkStart w:id="0" w:name="_GoBack"/>
            <w:bookmarkEnd w:id="0"/>
          </w:p>
        </w:tc>
        <w:tc>
          <w:tcPr>
            <w:tcW w:w="1533" w:type="dxa"/>
            <w:vAlign w:val="center"/>
          </w:tcPr>
          <w:p w:rsidR="00F9128C" w:rsidRDefault="00F9128C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Adjudicació:</w:t>
            </w:r>
          </w:p>
          <w:p w:rsidR="00F9128C" w:rsidRDefault="00F9128C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2/11/2017</w:t>
            </w:r>
          </w:p>
          <w:p w:rsidR="00F9128C" w:rsidRDefault="00F9128C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B17F69" w:rsidRDefault="00B17F69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48 mesos</w:t>
            </w:r>
          </w:p>
          <w:p w:rsidR="00F9128C" w:rsidRDefault="00F9128C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F9128C" w:rsidRDefault="00F9128C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Formalització:</w:t>
            </w:r>
          </w:p>
          <w:p w:rsidR="00F9128C" w:rsidRDefault="00F9128C" w:rsidP="00E1211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20/11/2017</w:t>
            </w:r>
          </w:p>
        </w:tc>
        <w:tc>
          <w:tcPr>
            <w:tcW w:w="1985" w:type="dxa"/>
            <w:vAlign w:val="center"/>
          </w:tcPr>
          <w:p w:rsidR="00F9128C" w:rsidRPr="00885B5A" w:rsidRDefault="00B17F69" w:rsidP="00885B5A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Logic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Mobility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Services, S.L.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F9128C" w:rsidRPr="00B17F69" w:rsidRDefault="00B17F69" w:rsidP="00E92DE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licitadors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B17F69" w:rsidRDefault="00B17F69" w:rsidP="00B17F69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8C4D5D">
              <w:rPr>
                <w:rFonts w:ascii="Open Sans" w:hAnsi="Open Sans" w:cs="Open Sans"/>
                <w:sz w:val="18"/>
                <w:szCs w:val="18"/>
                <w:lang w:val="ca-ES"/>
              </w:rPr>
              <w:t>Millor preu</w:t>
            </w:r>
          </w:p>
          <w:p w:rsidR="00B17F69" w:rsidRDefault="00B17F69" w:rsidP="00B17F69">
            <w:pPr>
              <w:pStyle w:val="Prrafodelista"/>
              <w:tabs>
                <w:tab w:val="left" w:pos="213"/>
              </w:tabs>
              <w:spacing w:after="0" w:line="240" w:lineRule="auto"/>
              <w:ind w:left="0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fins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15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B17F69" w:rsidRDefault="00B17F69" w:rsidP="00B17F69">
            <w:pPr>
              <w:pStyle w:val="Prrafodelista"/>
              <w:tabs>
                <w:tab w:val="left" w:pos="213"/>
              </w:tabs>
              <w:spacing w:after="0" w:line="240" w:lineRule="auto"/>
              <w:ind w:left="0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B17F69" w:rsidRPr="00B17F69" w:rsidRDefault="00B17F69" w:rsidP="00B17F69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proofErr w:type="spellStart"/>
            <w:r w:rsidRPr="00B17F69">
              <w:rPr>
                <w:rFonts w:ascii="Open Sans" w:hAnsi="Open Sans" w:cs="Open Sans"/>
                <w:sz w:val="18"/>
                <w:szCs w:val="18"/>
              </w:rPr>
              <w:t>Millor</w:t>
            </w:r>
            <w:proofErr w:type="spellEnd"/>
            <w:r w:rsidRPr="00B17F69">
              <w:rPr>
                <w:rFonts w:ascii="Open Sans" w:hAnsi="Open Sans" w:cs="Open Sans"/>
                <w:sz w:val="18"/>
                <w:szCs w:val="18"/>
              </w:rPr>
              <w:t xml:space="preserve"> preu </w:t>
            </w:r>
            <w:proofErr w:type="spellStart"/>
            <w:r w:rsidRPr="00B17F69">
              <w:rPr>
                <w:rFonts w:ascii="Open Sans" w:hAnsi="Open Sans" w:cs="Open Sans"/>
                <w:sz w:val="18"/>
                <w:szCs w:val="18"/>
              </w:rPr>
              <w:t>abonament</w:t>
            </w:r>
            <w:proofErr w:type="spellEnd"/>
            <w:r w:rsidRPr="00B17F69">
              <w:rPr>
                <w:rFonts w:ascii="Open Sans" w:hAnsi="Open Sans" w:cs="Open Sans"/>
                <w:sz w:val="18"/>
                <w:szCs w:val="18"/>
              </w:rPr>
              <w:t>/</w:t>
            </w:r>
          </w:p>
          <w:p w:rsidR="00B17F69" w:rsidRPr="00B17F69" w:rsidRDefault="00B17F69" w:rsidP="00B17F69">
            <w:pPr>
              <w:pStyle w:val="Prrafodelista"/>
              <w:tabs>
                <w:tab w:val="left" w:pos="213"/>
              </w:tabs>
              <w:spacing w:after="0" w:line="240" w:lineRule="auto"/>
              <w:ind w:left="71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c</w:t>
            </w:r>
            <w:r w:rsidRPr="00B17F69">
              <w:rPr>
                <w:rFonts w:ascii="Open Sans" w:hAnsi="Open Sans" w:cs="Open Sans"/>
                <w:sz w:val="18"/>
                <w:szCs w:val="18"/>
              </w:rPr>
              <w:t>àrrec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fins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 xml:space="preserve"> a 10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punts</w:t>
            </w:r>
            <w:proofErr w:type="spellEnd"/>
          </w:p>
          <w:p w:rsidR="00F9128C" w:rsidRDefault="00F9128C" w:rsidP="008C4D5D">
            <w:pPr>
              <w:tabs>
                <w:tab w:val="left" w:pos="213"/>
              </w:tabs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F9128C" w:rsidRDefault="00F9128C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</w:tbl>
    <w:p w:rsidR="009C51A3" w:rsidRPr="00C732E8" w:rsidRDefault="009C51A3" w:rsidP="00E33F57">
      <w:pPr>
        <w:spacing w:after="0" w:line="240" w:lineRule="auto"/>
        <w:rPr>
          <w:rFonts w:ascii="Open Sans" w:hAnsi="Open Sans" w:cs="Open Sans"/>
          <w:sz w:val="16"/>
          <w:szCs w:val="16"/>
          <w:lang w:val="ca-ES"/>
        </w:rPr>
      </w:pPr>
    </w:p>
    <w:sectPr w:rsidR="009C51A3" w:rsidRPr="00C732E8" w:rsidSect="00B95806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41" w:rsidRDefault="00A44B41" w:rsidP="00991BDF">
      <w:pPr>
        <w:spacing w:after="0" w:line="240" w:lineRule="auto"/>
      </w:pPr>
      <w:r>
        <w:separator/>
      </w:r>
    </w:p>
  </w:endnote>
  <w:endnote w:type="continuationSeparator" w:id="0">
    <w:p w:rsidR="00A44B41" w:rsidRDefault="00A44B41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EndPr/>
    <w:sdtContent>
      <w:p w:rsidR="008E3232" w:rsidRDefault="008E323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F69">
          <w:rPr>
            <w:noProof/>
          </w:rPr>
          <w:t>2</w:t>
        </w:r>
        <w:r>
          <w:fldChar w:fldCharType="end"/>
        </w:r>
      </w:p>
    </w:sdtContent>
  </w:sdt>
  <w:p w:rsidR="008E3232" w:rsidRDefault="008E323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41" w:rsidRDefault="00A44B41" w:rsidP="00991BDF">
      <w:pPr>
        <w:spacing w:after="0" w:line="240" w:lineRule="auto"/>
      </w:pPr>
      <w:r>
        <w:separator/>
      </w:r>
    </w:p>
  </w:footnote>
  <w:footnote w:type="continuationSeparator" w:id="0">
    <w:p w:rsidR="00A44B41" w:rsidRDefault="00A44B41" w:rsidP="00991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CA5"/>
    <w:multiLevelType w:val="hybridMultilevel"/>
    <w:tmpl w:val="C6541E66"/>
    <w:lvl w:ilvl="0" w:tplc="12F0D1CA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2D4"/>
    <w:multiLevelType w:val="hybridMultilevel"/>
    <w:tmpl w:val="600875FE"/>
    <w:lvl w:ilvl="0" w:tplc="CC2A054A">
      <w:start w:val="1"/>
      <w:numFmt w:val="bullet"/>
      <w:lvlText w:val="-"/>
      <w:lvlJc w:val="left"/>
      <w:pPr>
        <w:ind w:left="432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4F5364F1"/>
    <w:multiLevelType w:val="hybridMultilevel"/>
    <w:tmpl w:val="08642E7C"/>
    <w:lvl w:ilvl="0" w:tplc="75A47D4A">
      <w:start w:val="1"/>
      <w:numFmt w:val="bullet"/>
      <w:lvlText w:val="-"/>
      <w:lvlJc w:val="left"/>
      <w:pPr>
        <w:ind w:left="424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3">
    <w:nsid w:val="721A3189"/>
    <w:multiLevelType w:val="hybridMultilevel"/>
    <w:tmpl w:val="E98AEDD0"/>
    <w:lvl w:ilvl="0" w:tplc="5FFA7EB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552F5"/>
    <w:rsid w:val="000C22F9"/>
    <w:rsid w:val="000F2973"/>
    <w:rsid w:val="00107DC8"/>
    <w:rsid w:val="00115EB1"/>
    <w:rsid w:val="00115ECE"/>
    <w:rsid w:val="00123D17"/>
    <w:rsid w:val="00146289"/>
    <w:rsid w:val="001502E3"/>
    <w:rsid w:val="00153067"/>
    <w:rsid w:val="00161C89"/>
    <w:rsid w:val="001622F8"/>
    <w:rsid w:val="001652F5"/>
    <w:rsid w:val="00180D4C"/>
    <w:rsid w:val="001C2DE8"/>
    <w:rsid w:val="001F04F7"/>
    <w:rsid w:val="0020361E"/>
    <w:rsid w:val="00207BAC"/>
    <w:rsid w:val="00241C07"/>
    <w:rsid w:val="00255B78"/>
    <w:rsid w:val="002610B7"/>
    <w:rsid w:val="00264E8A"/>
    <w:rsid w:val="00297DE9"/>
    <w:rsid w:val="002A6829"/>
    <w:rsid w:val="002F3435"/>
    <w:rsid w:val="0030107D"/>
    <w:rsid w:val="00311EB8"/>
    <w:rsid w:val="00316CD8"/>
    <w:rsid w:val="00327DE9"/>
    <w:rsid w:val="003570DD"/>
    <w:rsid w:val="00366CC6"/>
    <w:rsid w:val="00391F87"/>
    <w:rsid w:val="003B5A50"/>
    <w:rsid w:val="003C236B"/>
    <w:rsid w:val="003C6D44"/>
    <w:rsid w:val="003D146D"/>
    <w:rsid w:val="003D5F2F"/>
    <w:rsid w:val="003E5238"/>
    <w:rsid w:val="00451683"/>
    <w:rsid w:val="004566C4"/>
    <w:rsid w:val="00464B4A"/>
    <w:rsid w:val="004D0811"/>
    <w:rsid w:val="004D3191"/>
    <w:rsid w:val="004D6388"/>
    <w:rsid w:val="004E4C55"/>
    <w:rsid w:val="00506E34"/>
    <w:rsid w:val="00512202"/>
    <w:rsid w:val="00516D25"/>
    <w:rsid w:val="00537C6E"/>
    <w:rsid w:val="00572FA5"/>
    <w:rsid w:val="005917B2"/>
    <w:rsid w:val="00595F89"/>
    <w:rsid w:val="005D6DED"/>
    <w:rsid w:val="00602A2C"/>
    <w:rsid w:val="006204F8"/>
    <w:rsid w:val="006249EB"/>
    <w:rsid w:val="00632634"/>
    <w:rsid w:val="00656C92"/>
    <w:rsid w:val="00660A26"/>
    <w:rsid w:val="00685CF7"/>
    <w:rsid w:val="006B09F0"/>
    <w:rsid w:val="006B68AF"/>
    <w:rsid w:val="006B6A1B"/>
    <w:rsid w:val="006C3FEE"/>
    <w:rsid w:val="006C78CD"/>
    <w:rsid w:val="006D23A5"/>
    <w:rsid w:val="006D26A1"/>
    <w:rsid w:val="006D7709"/>
    <w:rsid w:val="006E4FEE"/>
    <w:rsid w:val="006E5311"/>
    <w:rsid w:val="006F0333"/>
    <w:rsid w:val="00702E21"/>
    <w:rsid w:val="0070630D"/>
    <w:rsid w:val="007431E3"/>
    <w:rsid w:val="00751F87"/>
    <w:rsid w:val="00760CCB"/>
    <w:rsid w:val="007873CE"/>
    <w:rsid w:val="007B44AB"/>
    <w:rsid w:val="007B5DB2"/>
    <w:rsid w:val="007C7FE2"/>
    <w:rsid w:val="007D0F81"/>
    <w:rsid w:val="007D30A4"/>
    <w:rsid w:val="007D515B"/>
    <w:rsid w:val="007F617B"/>
    <w:rsid w:val="00810036"/>
    <w:rsid w:val="008469FB"/>
    <w:rsid w:val="008858F5"/>
    <w:rsid w:val="00885B5A"/>
    <w:rsid w:val="00891FC9"/>
    <w:rsid w:val="0089531C"/>
    <w:rsid w:val="008A5F87"/>
    <w:rsid w:val="008A62D3"/>
    <w:rsid w:val="008C0F6C"/>
    <w:rsid w:val="008C4D5D"/>
    <w:rsid w:val="008D4D07"/>
    <w:rsid w:val="008E3232"/>
    <w:rsid w:val="008E52B4"/>
    <w:rsid w:val="008F29B1"/>
    <w:rsid w:val="00900F6F"/>
    <w:rsid w:val="00923082"/>
    <w:rsid w:val="0092727E"/>
    <w:rsid w:val="00930C68"/>
    <w:rsid w:val="00953F8B"/>
    <w:rsid w:val="009652CF"/>
    <w:rsid w:val="00970DE6"/>
    <w:rsid w:val="009740FB"/>
    <w:rsid w:val="009755C0"/>
    <w:rsid w:val="00991BDF"/>
    <w:rsid w:val="00997EF4"/>
    <w:rsid w:val="009A140C"/>
    <w:rsid w:val="009A47FF"/>
    <w:rsid w:val="009C23A1"/>
    <w:rsid w:val="009C51A3"/>
    <w:rsid w:val="009F7B99"/>
    <w:rsid w:val="00A13B75"/>
    <w:rsid w:val="00A40D9A"/>
    <w:rsid w:val="00A44B41"/>
    <w:rsid w:val="00A716F2"/>
    <w:rsid w:val="00A96731"/>
    <w:rsid w:val="00AA5417"/>
    <w:rsid w:val="00AC3664"/>
    <w:rsid w:val="00AD78A9"/>
    <w:rsid w:val="00AE438B"/>
    <w:rsid w:val="00AF224B"/>
    <w:rsid w:val="00AF710E"/>
    <w:rsid w:val="00AF78E4"/>
    <w:rsid w:val="00AF7BAA"/>
    <w:rsid w:val="00B11079"/>
    <w:rsid w:val="00B17F69"/>
    <w:rsid w:val="00B32448"/>
    <w:rsid w:val="00B512B1"/>
    <w:rsid w:val="00B577D4"/>
    <w:rsid w:val="00B640B3"/>
    <w:rsid w:val="00B85933"/>
    <w:rsid w:val="00B90972"/>
    <w:rsid w:val="00B9241F"/>
    <w:rsid w:val="00B955F9"/>
    <w:rsid w:val="00B95806"/>
    <w:rsid w:val="00BC0A93"/>
    <w:rsid w:val="00BC72A6"/>
    <w:rsid w:val="00BD4F2C"/>
    <w:rsid w:val="00C063C5"/>
    <w:rsid w:val="00C17D67"/>
    <w:rsid w:val="00C263AD"/>
    <w:rsid w:val="00C35143"/>
    <w:rsid w:val="00C40E45"/>
    <w:rsid w:val="00C732E8"/>
    <w:rsid w:val="00C745E9"/>
    <w:rsid w:val="00C752B6"/>
    <w:rsid w:val="00C770D4"/>
    <w:rsid w:val="00C94F96"/>
    <w:rsid w:val="00C97FFD"/>
    <w:rsid w:val="00CC5BA7"/>
    <w:rsid w:val="00CC6772"/>
    <w:rsid w:val="00CD7C48"/>
    <w:rsid w:val="00CE7FCE"/>
    <w:rsid w:val="00CF1459"/>
    <w:rsid w:val="00D20820"/>
    <w:rsid w:val="00D234B2"/>
    <w:rsid w:val="00D27707"/>
    <w:rsid w:val="00D30629"/>
    <w:rsid w:val="00D731AA"/>
    <w:rsid w:val="00D73AF5"/>
    <w:rsid w:val="00D778FF"/>
    <w:rsid w:val="00DA0FC6"/>
    <w:rsid w:val="00DF34E0"/>
    <w:rsid w:val="00E305EB"/>
    <w:rsid w:val="00E33F57"/>
    <w:rsid w:val="00E35A9C"/>
    <w:rsid w:val="00E57774"/>
    <w:rsid w:val="00E60EC3"/>
    <w:rsid w:val="00E64989"/>
    <w:rsid w:val="00E71DA5"/>
    <w:rsid w:val="00E740F6"/>
    <w:rsid w:val="00E92DE6"/>
    <w:rsid w:val="00EA16C5"/>
    <w:rsid w:val="00EB4CB8"/>
    <w:rsid w:val="00EB5125"/>
    <w:rsid w:val="00EC6F99"/>
    <w:rsid w:val="00ED1A32"/>
    <w:rsid w:val="00F0163B"/>
    <w:rsid w:val="00F173B0"/>
    <w:rsid w:val="00F30C7B"/>
    <w:rsid w:val="00F45A9B"/>
    <w:rsid w:val="00F50FDB"/>
    <w:rsid w:val="00F534A9"/>
    <w:rsid w:val="00F6325D"/>
    <w:rsid w:val="00F67062"/>
    <w:rsid w:val="00F80901"/>
    <w:rsid w:val="00F875FB"/>
    <w:rsid w:val="00F9115A"/>
    <w:rsid w:val="00F9128C"/>
    <w:rsid w:val="00FA1399"/>
    <w:rsid w:val="00FA6765"/>
    <w:rsid w:val="00FC6C88"/>
    <w:rsid w:val="00FD0E84"/>
    <w:rsid w:val="00FD66A3"/>
    <w:rsid w:val="00FE5064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08D3E-7B05-45DD-9898-6B428B3C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</cp:lastModifiedBy>
  <cp:revision>4</cp:revision>
  <cp:lastPrinted>2017-09-29T09:56:00Z</cp:lastPrinted>
  <dcterms:created xsi:type="dcterms:W3CDTF">2018-07-10T08:55:00Z</dcterms:created>
  <dcterms:modified xsi:type="dcterms:W3CDTF">2018-07-10T11:09:00Z</dcterms:modified>
</cp:coreProperties>
</file>